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882C9B" w:rsidRPr="00FA357D" w:rsidRDefault="00014E39" w:rsidP="00882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3A2E92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882C9B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ІНОЗЕМНА МОВА У </w:t>
      </w:r>
      <w:r w:rsidR="00014E39">
        <w:rPr>
          <w:rFonts w:ascii="Times New Roman" w:eastAsia="Times New Roman" w:hAnsi="Times New Roman" w:cs="Times New Roman"/>
          <w:b/>
          <w:sz w:val="44"/>
          <w:szCs w:val="44"/>
        </w:rPr>
        <w:t xml:space="preserve">ПРОФЕСІЙНІЙ ДІЯЛЬНОСТІ 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4E39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E904D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3A2E9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82C9B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AA63C7" w:rsidRDefault="002866FA" w:rsidP="00613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309 /1</w:t>
            </w:r>
            <w:r w:rsidR="00D75981">
              <w:rPr>
                <w:rFonts w:ascii="Times New Roman" w:eastAsia="Times New Roman" w:hAnsi="Times New Roman" w:cs="Times New Roman"/>
                <w:sz w:val="28"/>
                <w:szCs w:val="28"/>
              </w:rPr>
              <w:t>, 307/1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3B2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3A2E92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04D2" w:rsidRDefault="00C23E5D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E3055F" w:rsidRPr="00E90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4D2" w:rsidRPr="00E904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 xml:space="preserve">Здатність </w:t>
      </w:r>
      <w:r w:rsidR="00E904D2">
        <w:rPr>
          <w:rFonts w:ascii="Times New Roman" w:eastAsia="Times New Roman" w:hAnsi="Times New Roman" w:cs="Times New Roman"/>
          <w:sz w:val="28"/>
          <w:szCs w:val="28"/>
        </w:rPr>
        <w:t xml:space="preserve">до ефективної комунікаційної взаємодії та використання інформаційно-комунікаційних технологій для пошуку, оброблення, аналізу інформації з різних джерел та прийняття рішень. </w:t>
      </w:r>
    </w:p>
    <w:p w:rsidR="00536346" w:rsidRDefault="00E904D2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6</w:t>
      </w:r>
      <w:r w:rsidR="00E3055F">
        <w:rPr>
          <w:rFonts w:ascii="Times New Roman" w:hAnsi="Times New Roman"/>
          <w:color w:val="000000"/>
          <w:sz w:val="28"/>
          <w:szCs w:val="28"/>
        </w:rPr>
        <w:t>.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A67">
        <w:rPr>
          <w:rFonts w:ascii="Times New Roman" w:hAnsi="Times New Roman"/>
          <w:color w:val="000000"/>
          <w:sz w:val="28"/>
          <w:szCs w:val="28"/>
        </w:rPr>
        <w:t xml:space="preserve">Здатність </w:t>
      </w:r>
      <w:r>
        <w:rPr>
          <w:rFonts w:ascii="Times New Roman" w:hAnsi="Times New Roman"/>
          <w:color w:val="000000"/>
          <w:sz w:val="28"/>
          <w:szCs w:val="28"/>
        </w:rPr>
        <w:t xml:space="preserve">до безперервного та актуального навчання, вивчення і узагальнення передового досвіду у сфері своєї професійної діяльності.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lastRenderedPageBreak/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7B1F5F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E3055F" w:rsidRDefault="00613A67" w:rsidP="00C23E5D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</w:t>
            </w:r>
            <w:r w:rsidR="00E904D2">
              <w:rPr>
                <w:rFonts w:ascii="Times New Roman" w:eastAsia="Times New Roman" w:hAnsi="Times New Roman"/>
                <w:sz w:val="28"/>
                <w:szCs w:val="28"/>
              </w:rPr>
              <w:t>ВД 12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E904D2">
              <w:rPr>
                <w:rFonts w:ascii="Times New Roman" w:eastAsia="Times New Roman" w:hAnsi="Times New Roman"/>
                <w:sz w:val="28"/>
                <w:szCs w:val="28"/>
              </w:rPr>
              <w:t xml:space="preserve">Здатність використання різноманітних методів, зокрема інформаційних технологій, для ефективного спілкування на професійних та соціальних рівнях. </w:t>
            </w:r>
          </w:p>
          <w:p w:rsidR="00DB0C0A" w:rsidRPr="00536346" w:rsidRDefault="00613A67" w:rsidP="00E904D2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</w:t>
            </w:r>
            <w:r w:rsidR="00E904D2">
              <w:rPr>
                <w:rFonts w:ascii="Times New Roman" w:eastAsia="Times New Roman" w:hAnsi="Times New Roman"/>
                <w:sz w:val="28"/>
                <w:szCs w:val="28"/>
              </w:rPr>
              <w:t>ВД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904D2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C23E5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E904D2">
              <w:rPr>
                <w:rFonts w:ascii="Times New Roman" w:eastAsia="Times New Roman" w:hAnsi="Times New Roman"/>
                <w:sz w:val="28"/>
                <w:szCs w:val="28"/>
              </w:rPr>
              <w:t xml:space="preserve">Здатність усвідомлювати необхідність навчання впродовж усього життя з метою поглиблення набутих та здобуття нових знань. 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E904D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E904D2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E904D2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E904D2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E904D2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РН.12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писати зрозумілі тексти різного спрямування;</w:t>
            </w:r>
          </w:p>
          <w:p w:rsidR="00536346" w:rsidRDefault="00E904D2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РН.15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904D2">
              <w:rPr>
                <w:rFonts w:ascii="Times New Roman" w:eastAsia="Times New Roman" w:hAnsi="Times New Roman" w:cs="Times New Roman"/>
                <w:sz w:val="28"/>
                <w:szCs w:val="28"/>
              </w:rPr>
              <w:t>Н.15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виступати з підготовленими індивідуальними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презентаціями, продукувати чіткий монолог з широкого кола тем, пов’язаних з навчанням;</w:t>
            </w:r>
          </w:p>
          <w:p w:rsidR="00BB18F0" w:rsidRPr="008261B3" w:rsidRDefault="00E904D2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РН.15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BB18F0" w:rsidRPr="008261B3" w:rsidRDefault="00E904D2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РН.15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рієнтованого характеру;</w:t>
            </w:r>
          </w:p>
          <w:p w:rsidR="00BB18F0" w:rsidRPr="00536346" w:rsidRDefault="00E904D2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РН.15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очитаного, почутого, побаченого.</w:t>
            </w:r>
          </w:p>
        </w:tc>
      </w:tr>
    </w:tbl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4E39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E904D2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Готельно-ресторання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справа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BB18F0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2310" w:rsidRDefault="00D62310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3A2E92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3A2E92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</w:t>
      </w:r>
      <w:r w:rsidR="00014E3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2310" w:rsidRDefault="00D62310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4E39" w:rsidRPr="00014E39">
        <w:rPr>
          <w:rFonts w:ascii="Times New Roman" w:hAnsi="Times New Roman"/>
          <w:sz w:val="28"/>
          <w:szCs w:val="28"/>
        </w:rPr>
        <w:t xml:space="preserve"> </w:t>
      </w:r>
      <w:r w:rsidR="00014E39">
        <w:rPr>
          <w:rFonts w:ascii="Times New Roman" w:hAnsi="Times New Roman"/>
          <w:sz w:val="28"/>
          <w:szCs w:val="28"/>
        </w:rPr>
        <w:t>і</w:t>
      </w:r>
      <w:r w:rsidR="00014E39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4E39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4E39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4E39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4E39">
        <w:rPr>
          <w:rFonts w:ascii="Times New Roman" w:hAnsi="Times New Roman"/>
          <w:sz w:val="28"/>
          <w:szCs w:val="28"/>
        </w:rPr>
        <w:t>/</w:t>
      </w:r>
      <w:r w:rsidR="00014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D62310" w:rsidRDefault="00D62310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4E39" w:rsidRPr="00DF4713" w:rsidTr="00D7330E">
        <w:tc>
          <w:tcPr>
            <w:tcW w:w="992" w:type="dxa"/>
          </w:tcPr>
          <w:p w:rsidR="00014E39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4E39" w:rsidRDefault="00014E39" w:rsidP="00014E39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4E39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4E39" w:rsidRPr="005164F4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E39" w:rsidRDefault="00014E39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E39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0-10</w:t>
            </w:r>
          </w:p>
        </w:tc>
      </w:tr>
      <w:tr w:rsidR="007B1F5F" w:rsidRPr="00DF4713" w:rsidTr="00D7330E">
        <w:tc>
          <w:tcPr>
            <w:tcW w:w="992" w:type="dxa"/>
          </w:tcPr>
          <w:p w:rsidR="007B1F5F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9" w:type="dxa"/>
          </w:tcPr>
          <w:p w:rsidR="007B1F5F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7B1F5F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4E39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D62310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D62310" w:rsidRPr="0086527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D62310" w:rsidRPr="00DF7E6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ind w:left="786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E904D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E904D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E904D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E904D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E904D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E904D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0F77EB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29744AD" wp14:editId="10329238">
            <wp:simplePos x="0" y="0"/>
            <wp:positionH relativeFrom="column">
              <wp:posOffset>1720850</wp:posOffset>
            </wp:positionH>
            <wp:positionV relativeFrom="paragraph">
              <wp:posOffset>169545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402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482"/>
    <w:multiLevelType w:val="hybridMultilevel"/>
    <w:tmpl w:val="BBE6160E"/>
    <w:lvl w:ilvl="0" w:tplc="95823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4E39"/>
    <w:rsid w:val="000347A2"/>
    <w:rsid w:val="00075F6B"/>
    <w:rsid w:val="000845D4"/>
    <w:rsid w:val="00096EB0"/>
    <w:rsid w:val="00097C93"/>
    <w:rsid w:val="000F77EB"/>
    <w:rsid w:val="00104DE2"/>
    <w:rsid w:val="00147D8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52D4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A2E92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57EC"/>
    <w:rsid w:val="00607687"/>
    <w:rsid w:val="00613A67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F10D4"/>
    <w:rsid w:val="008043D6"/>
    <w:rsid w:val="008146E2"/>
    <w:rsid w:val="008261B3"/>
    <w:rsid w:val="00882C9B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18F0"/>
    <w:rsid w:val="00BB3386"/>
    <w:rsid w:val="00BC326C"/>
    <w:rsid w:val="00BD1AEA"/>
    <w:rsid w:val="00BD741C"/>
    <w:rsid w:val="00BF5A00"/>
    <w:rsid w:val="00C01CB5"/>
    <w:rsid w:val="00C04593"/>
    <w:rsid w:val="00C1177E"/>
    <w:rsid w:val="00C13394"/>
    <w:rsid w:val="00C16F63"/>
    <w:rsid w:val="00C210E9"/>
    <w:rsid w:val="00C23E5D"/>
    <w:rsid w:val="00C54B0E"/>
    <w:rsid w:val="00C66CAD"/>
    <w:rsid w:val="00C7025C"/>
    <w:rsid w:val="00C90459"/>
    <w:rsid w:val="00CD3670"/>
    <w:rsid w:val="00CF044D"/>
    <w:rsid w:val="00D07986"/>
    <w:rsid w:val="00D445F0"/>
    <w:rsid w:val="00D62310"/>
    <w:rsid w:val="00D7330E"/>
    <w:rsid w:val="00D745BB"/>
    <w:rsid w:val="00D75981"/>
    <w:rsid w:val="00D879D5"/>
    <w:rsid w:val="00DB0C0A"/>
    <w:rsid w:val="00DC1F8C"/>
    <w:rsid w:val="00DF4713"/>
    <w:rsid w:val="00DF47FB"/>
    <w:rsid w:val="00E15035"/>
    <w:rsid w:val="00E23DCC"/>
    <w:rsid w:val="00E3055F"/>
    <w:rsid w:val="00E54315"/>
    <w:rsid w:val="00E63419"/>
    <w:rsid w:val="00E70296"/>
    <w:rsid w:val="00E904D2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38CC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DABE-0CC1-496A-BE7E-DB2E39F4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10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32</cp:revision>
  <cp:lastPrinted>2020-09-11T12:23:00Z</cp:lastPrinted>
  <dcterms:created xsi:type="dcterms:W3CDTF">2020-09-10T08:57:00Z</dcterms:created>
  <dcterms:modified xsi:type="dcterms:W3CDTF">2023-09-10T11:07:00Z</dcterms:modified>
</cp:coreProperties>
</file>