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B20032" w:rsidRPr="00FA357D" w:rsidRDefault="009B7741" w:rsidP="00B2003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6D7653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F82DEF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82DEF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</w:t>
      </w:r>
      <w:r w:rsid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ї</w:t>
      </w:r>
    </w:p>
    <w:p w:rsidR="009F6F6A" w:rsidRPr="00F82DEF" w:rsidRDefault="00F82DEF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82DEF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6E31D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F82D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7F2A71" w:rsidRPr="00FA357D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Training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European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Integration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and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International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7048D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E31DA" w:rsidRPr="006E31DA" w:rsidRDefault="006E31DA" w:rsidP="006E31DA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 педагогічних наук, доце</w:t>
            </w:r>
            <w:r w:rsidR="00E25859">
              <w:rPr>
                <w:rFonts w:ascii="Times New Roman" w:eastAsia="Times New Roman" w:hAnsi="Times New Roman" w:cs="Times New Roman"/>
                <w:sz w:val="26"/>
                <w:szCs w:val="26"/>
              </w:rPr>
              <w:t>нт …</w:t>
            </w: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6E31DA" w:rsidRPr="00E53AA0" w:rsidRDefault="006E31DA" w:rsidP="006E31DA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E31DA" w:rsidRPr="00E53AA0" w:rsidRDefault="006E31DA" w:rsidP="006E31DA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564888" w:rsidRPr="006E31DA" w:rsidRDefault="006E31DA" w:rsidP="00E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 пошта: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2A71" w:rsidRDefault="007048DA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175AA0" w:rsidRDefault="00C7565A" w:rsidP="00175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 і відеоапаратури), а також інші методичні засоби та прийоми , що сприяють вирішенню проблем навчання усній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здатністю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застосовуват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знання у практичних ситуаціях 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та здатністю вчитися і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оволодівати сучасними знаннями і </w:t>
      </w:r>
      <w:r w:rsidR="00F56C2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спеціальною компетентністю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здатністю до особистісного та професійного самовдосконалення, навчання та саморозвитку.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6E31DA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6E31DA">
        <w:rPr>
          <w:rFonts w:ascii="Times New Roman" w:hAnsi="Times New Roman"/>
          <w:sz w:val="28"/>
          <w:szCs w:val="28"/>
          <w:lang w:eastAsia="uk-UA"/>
        </w:rPr>
        <w:t>, вивчається протягом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7F2A71" w:rsidRDefault="007F2A71" w:rsidP="007F2A71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7F2A71" w:rsidRDefault="00E25859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="002B3A5E"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7F2A7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2B3A5E">
        <w:rPr>
          <w:rFonts w:ascii="Times New Roman" w:hAnsi="Times New Roman"/>
          <w:sz w:val="28"/>
          <w:szCs w:val="28"/>
          <w:lang w:val="uk-UA" w:eastAsia="uk-UA"/>
        </w:rPr>
        <w:t>Здатність спілкуватися іноземною мовою.</w:t>
      </w:r>
    </w:p>
    <w:p w:rsidR="00E25859" w:rsidRDefault="00E25859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06. Навички використання інформаційних і комунікаційних технологій.</w:t>
      </w:r>
    </w:p>
    <w:p w:rsidR="00365A3C" w:rsidRPr="00E25859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2B3A5E" w:rsidP="00E258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E2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 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2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Розуміти особливості комунікації, взаємодії та співпраці в міжнародному культурному та професійному контекстах. </w:t>
            </w:r>
          </w:p>
        </w:tc>
        <w:tc>
          <w:tcPr>
            <w:tcW w:w="8646" w:type="dxa"/>
          </w:tcPr>
          <w:p w:rsidR="009151CA" w:rsidRP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90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04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E90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9151CA" w:rsidRDefault="00E90E15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04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2B3A5E" w:rsidRPr="009151CA" w:rsidRDefault="002B3A5E" w:rsidP="002B3A5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2B3A5E" w:rsidP="00E258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E2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 05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2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Володіти культурою мовлення, обирати оптимальну комунікаційну стратегію у спілкуванні з групами та окремими особами. </w:t>
            </w:r>
          </w:p>
        </w:tc>
        <w:tc>
          <w:tcPr>
            <w:tcW w:w="8646" w:type="dxa"/>
          </w:tcPr>
          <w:p w:rsid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90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05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E90E15" w:rsidP="007626E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="007626EA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151CA" w:rsidRDefault="00E90E15" w:rsidP="004C28B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4C28B9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2B3A5E" w:rsidRPr="009151CA" w:rsidRDefault="002B3A5E" w:rsidP="004C28B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5859" w:rsidRPr="00066E5E" w:rsidTr="00D553AC">
        <w:tc>
          <w:tcPr>
            <w:tcW w:w="5954" w:type="dxa"/>
          </w:tcPr>
          <w:p w:rsidR="00E25859" w:rsidRDefault="00E25859" w:rsidP="00E258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ПРН 06. Доносити зрозуміло і недвозначно професійні знання, обґрунтування і висновки до фахівців і широкого загалу державною та іноземною мовами. </w:t>
            </w:r>
          </w:p>
        </w:tc>
        <w:tc>
          <w:tcPr>
            <w:tcW w:w="8646" w:type="dxa"/>
          </w:tcPr>
          <w:p w:rsidR="00E25859" w:rsidRDefault="00E25859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06.1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повідомляти новини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викладати власну думку в усній та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письмовій формі, зіставляючи її з думками інших людей.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5859" w:rsidRPr="009151CA" w:rsidRDefault="00E25859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06.2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3E160E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E16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3E160E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3E160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E90E15" w:rsidP="007048DA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015.24 Економіка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3E160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E90E15" w:rsidP="007048DA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015.24 Економіка</w:t>
            </w:r>
            <w:r w:rsidR="007048D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1D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B20032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B20032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B20032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B20032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B20032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B20032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B20032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B20032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B20032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B20032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B20032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B20032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B20032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20032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20032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DE0B15" w:rsidRPr="00DE0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15">
        <w:rPr>
          <w:rFonts w:ascii="Times New Roman" w:hAnsi="Times New Roman"/>
          <w:sz w:val="28"/>
          <w:szCs w:val="28"/>
          <w:lang w:val="uk-UA"/>
        </w:rPr>
        <w:t>і</w:t>
      </w:r>
      <w:r w:rsidR="00DE0B1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DE0B1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1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DE0B1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DE0B15">
        <w:rPr>
          <w:rFonts w:ascii="Times New Roman" w:hAnsi="Times New Roman"/>
          <w:sz w:val="28"/>
          <w:szCs w:val="28"/>
          <w:lang w:val="uk-UA"/>
        </w:rPr>
        <w:t>/</w:t>
      </w:r>
      <w:r w:rsidR="00DE0B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DE0B1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E0B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9F5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9F5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E0B15" w:rsidRDefault="00DE0B15" w:rsidP="00DE0B1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отримання охоронного документу на об’єкт інтелектуальної власності, винахід, корисну модель;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DE0B15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DE0B15" w:rsidRPr="005164F4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0B15" w:rsidRPr="00F97BA0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DE0B15" w:rsidRPr="00F97BA0" w:rsidRDefault="00DE0B15" w:rsidP="00DE0B1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Pr="00DF4713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E0B15" w:rsidRPr="00075F6B" w:rsidRDefault="00DE0B15" w:rsidP="00DE0B1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E0B15" w:rsidRPr="00075F6B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0113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DE0B1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E0B1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DE0B15" w:rsidRDefault="00DE0B15" w:rsidP="00DE0B15">
      <w:pPr>
        <w:pStyle w:val="ab"/>
        <w:numPr>
          <w:ilvl w:val="0"/>
          <w:numId w:val="9"/>
        </w:num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1F1C35" w:rsidRPr="00E86179" w:rsidRDefault="001F1C35" w:rsidP="001F1C35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Інформаційні ресурси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7048D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D7653" w:rsidRDefault="006D765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6041FCB" wp14:editId="2744794D">
            <wp:simplePos x="0" y="0"/>
            <wp:positionH relativeFrom="column">
              <wp:posOffset>1568450</wp:posOffset>
            </wp:positionH>
            <wp:positionV relativeFrom="paragraph">
              <wp:posOffset>131445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6D765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3334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048D7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1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75AA0"/>
    <w:rsid w:val="001A5BCB"/>
    <w:rsid w:val="001B00BA"/>
    <w:rsid w:val="001C6C5C"/>
    <w:rsid w:val="001D56B8"/>
    <w:rsid w:val="001D75A7"/>
    <w:rsid w:val="001E2FF1"/>
    <w:rsid w:val="001E697F"/>
    <w:rsid w:val="001F1C35"/>
    <w:rsid w:val="002414B3"/>
    <w:rsid w:val="00241F06"/>
    <w:rsid w:val="002650AF"/>
    <w:rsid w:val="002724D6"/>
    <w:rsid w:val="002768A4"/>
    <w:rsid w:val="00283995"/>
    <w:rsid w:val="00284EA3"/>
    <w:rsid w:val="00285205"/>
    <w:rsid w:val="002B3A5E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E160E"/>
    <w:rsid w:val="003F7818"/>
    <w:rsid w:val="00414FD7"/>
    <w:rsid w:val="0041760F"/>
    <w:rsid w:val="00430864"/>
    <w:rsid w:val="00452BAC"/>
    <w:rsid w:val="004642C6"/>
    <w:rsid w:val="00470549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64888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D7653"/>
    <w:rsid w:val="006E31DA"/>
    <w:rsid w:val="00701131"/>
    <w:rsid w:val="007048DA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2A71"/>
    <w:rsid w:val="00800114"/>
    <w:rsid w:val="00810843"/>
    <w:rsid w:val="0089120E"/>
    <w:rsid w:val="008B32AC"/>
    <w:rsid w:val="008C1289"/>
    <w:rsid w:val="008D1272"/>
    <w:rsid w:val="008E7D5F"/>
    <w:rsid w:val="009018AA"/>
    <w:rsid w:val="009048D7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3334"/>
    <w:rsid w:val="00994D15"/>
    <w:rsid w:val="009B5C00"/>
    <w:rsid w:val="009B7741"/>
    <w:rsid w:val="009F5BA7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AF50D9"/>
    <w:rsid w:val="00B20032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553AC"/>
    <w:rsid w:val="00D5761A"/>
    <w:rsid w:val="00D745BB"/>
    <w:rsid w:val="00D879D5"/>
    <w:rsid w:val="00D91E00"/>
    <w:rsid w:val="00DC596B"/>
    <w:rsid w:val="00DE0B15"/>
    <w:rsid w:val="00DF4713"/>
    <w:rsid w:val="00DF47FB"/>
    <w:rsid w:val="00DF4EFA"/>
    <w:rsid w:val="00E01317"/>
    <w:rsid w:val="00E10203"/>
    <w:rsid w:val="00E23DCC"/>
    <w:rsid w:val="00E25859"/>
    <w:rsid w:val="00E34BA0"/>
    <w:rsid w:val="00E63419"/>
    <w:rsid w:val="00E70296"/>
    <w:rsid w:val="00E83C6C"/>
    <w:rsid w:val="00E90E15"/>
    <w:rsid w:val="00EA0865"/>
    <w:rsid w:val="00ED1809"/>
    <w:rsid w:val="00EE3EED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63B43"/>
    <w:rsid w:val="00F82DEF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8A9B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6E31DA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6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3846-B7B0-49AE-8ED4-D1D21E86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69</cp:revision>
  <dcterms:created xsi:type="dcterms:W3CDTF">2020-03-31T16:51:00Z</dcterms:created>
  <dcterms:modified xsi:type="dcterms:W3CDTF">2023-09-23T08:50:00Z</dcterms:modified>
</cp:coreProperties>
</file>