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64273E" w:rsidRDefault="0053434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64273E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FB62B5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15373A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15373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B62B5" w:rsidRPr="006E31DA" w:rsidRDefault="00FB62B5" w:rsidP="00FB62B5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Кандидат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педагогічних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наук, доцент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Шапаренко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Олена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Володимирівна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практичні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FB62B5" w:rsidRPr="00E53AA0" w:rsidRDefault="00FB62B5" w:rsidP="00FB62B5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fl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rStyle w:val="Internetlink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B62B5" w:rsidRPr="00E53AA0" w:rsidRDefault="00FB62B5" w:rsidP="00FB62B5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B62B5" w:rsidRPr="00FB62B5" w:rsidRDefault="00FB62B5" w:rsidP="00FB6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proofErr w:type="spell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пошта:</w:t>
            </w:r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olena.shaparenko@uipa.edu.u</w:t>
            </w:r>
            <w:proofErr w:type="gram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  <w:p w:rsidR="009A066B" w:rsidRPr="009A066B" w:rsidRDefault="009A066B" w:rsidP="00FB62B5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</w:t>
            </w:r>
            <w:proofErr w:type="spellStart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Бринцева</w:t>
            </w:r>
            <w:proofErr w:type="spellEnd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Василівна (практичні);</w:t>
            </w:r>
          </w:p>
          <w:p w:rsidR="009A066B" w:rsidRPr="00AA63C7" w:rsidRDefault="009A066B" w:rsidP="009A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8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A066B" w:rsidRPr="00AA63C7" w:rsidRDefault="009A066B" w:rsidP="009A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480F24" w:rsidRPr="00942B47" w:rsidRDefault="009A066B" w:rsidP="00FB6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 …: </w:t>
            </w:r>
            <w:r w:rsidR="00480F24"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15373A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B47" w:rsidRPr="00942B47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розра</w:t>
      </w:r>
      <w:r w:rsidR="00FB62B5">
        <w:rPr>
          <w:rFonts w:ascii="Times New Roman" w:hAnsi="Times New Roman"/>
          <w:sz w:val="28"/>
          <w:szCs w:val="28"/>
          <w:lang w:val="uk-UA" w:eastAsia="uk-UA"/>
        </w:rPr>
        <w:t>хований на студентів 1-го року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FB62B5">
        <w:rPr>
          <w:rFonts w:ascii="Times New Roman" w:hAnsi="Times New Roman"/>
          <w:sz w:val="28"/>
          <w:szCs w:val="28"/>
          <w:lang w:val="uk-UA" w:eastAsia="uk-UA"/>
        </w:rPr>
        <w:t>, вивчається протягом 2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04. Здатність спілкуватися іноземною мовою.</w:t>
      </w:r>
    </w:p>
    <w:p w:rsidR="00D320DF" w:rsidRP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06. Здатність вчитися і оволодівати сучасними знаннями.</w:t>
      </w:r>
    </w:p>
    <w:p w:rsidR="00365A3C" w:rsidRPr="006F5F67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uk-UA"/>
        </w:rPr>
      </w:pPr>
    </w:p>
    <w:p w:rsidR="00942B47" w:rsidRPr="006F5F6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lastRenderedPageBreak/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C441D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32B38" w:rsidRPr="009658A7" w:rsidRDefault="00D32B38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15373A" w:rsidTr="00D553AC">
        <w:tc>
          <w:tcPr>
            <w:tcW w:w="5954" w:type="dxa"/>
          </w:tcPr>
          <w:p w:rsidR="009151CA" w:rsidRPr="009151CA" w:rsidRDefault="00D32B38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 05. </w:t>
            </w:r>
            <w:r w:rsidR="00897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Доносити зрозуміло і недвозначно професійні знання здобувачам освіти державною мовою. </w:t>
            </w:r>
          </w:p>
          <w:p w:rsidR="009151CA" w:rsidRPr="00660F33" w:rsidRDefault="0089761E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08</w:t>
            </w: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Відшукувати, обробляти, аналізувати та оцінювати інформацію, що стосується професійної діяльності, користуватися спеціалізованим програмним забезпеченням та сучасними засобами зберігання та обробки інформації. </w:t>
            </w:r>
          </w:p>
        </w:tc>
        <w:tc>
          <w:tcPr>
            <w:tcW w:w="8646" w:type="dxa"/>
          </w:tcPr>
          <w:p w:rsidR="009151CA" w:rsidRPr="009151CA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9151CA" w:rsidRPr="009151CA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D32B38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</w:p>
          <w:p w:rsidR="009151CA" w:rsidRPr="009151CA" w:rsidRDefault="00D32B38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151CA" w:rsidRPr="00D320DF" w:rsidTr="00D553AC">
        <w:tc>
          <w:tcPr>
            <w:tcW w:w="5954" w:type="dxa"/>
          </w:tcPr>
          <w:p w:rsidR="009151CA" w:rsidRPr="00660F33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9151CA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7626EA" w:rsidRPr="00D10593" w:rsidRDefault="007626E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Уміння розуміти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основну думку складних за змістом 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D32B38" w:rsidRDefault="004C28B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 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  <w:p w:rsidR="009151CA" w:rsidRPr="009151CA" w:rsidRDefault="00D32B38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Уміння </w:t>
            </w:r>
            <w:r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повідомляти новини та викладати власну думку у письмовій формі, зіставляючи її з думками інших людей.</w:t>
            </w:r>
          </w:p>
        </w:tc>
      </w:tr>
    </w:tbl>
    <w:p w:rsidR="00D32B38" w:rsidRPr="00D320DF" w:rsidRDefault="00D32B38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FB62B5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B62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FB62B5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180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FB62B5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E2E94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="001C4CE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FB62B5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1C4CEC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9A06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534347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47D8A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1E697F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15373A" w:rsidTr="000F547F">
        <w:tc>
          <w:tcPr>
            <w:tcW w:w="15020" w:type="dxa"/>
            <w:gridSpan w:val="4"/>
          </w:tcPr>
          <w:p w:rsidR="00F33210" w:rsidRPr="006F5F67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The World</w:t>
            </w:r>
            <w:r w:rsidR="00252B45" w:rsidRPr="00252B45">
              <w:rPr>
                <w:rFonts w:ascii="Segoe UI" w:hAnsi="Segoe UI" w:cs="Segoe UI"/>
                <w:i/>
                <w:iCs/>
                <w:color w:val="auto"/>
                <w:lang w:val="en-US"/>
              </w:rPr>
              <w:t xml:space="preserve">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of</w:t>
            </w:r>
            <w:r w:rsidR="00252B45" w:rsidRPr="00252B45">
              <w:rPr>
                <w:rFonts w:ascii="Segoe UI" w:hAnsi="Segoe UI" w:cs="Segoe UI"/>
                <w:i/>
                <w:iCs/>
                <w:color w:val="auto"/>
                <w:lang w:val="en-US"/>
              </w:rPr>
              <w:t xml:space="preserve">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University</w:t>
            </w:r>
            <w:r w:rsidR="00252B45" w:rsidRPr="00252B45">
              <w:rPr>
                <w:rFonts w:ascii="Segoe UI" w:hAnsi="Segoe UI" w:cs="Segoe UI"/>
                <w:i/>
                <w:iCs/>
                <w:color w:val="auto"/>
                <w:lang w:val="en-US"/>
              </w:rPr>
              <w:t xml:space="preserve">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Education</w:t>
            </w:r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9A066B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9A066B" w:rsidP="009A06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9A066B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9A066B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9A066B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A066B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A06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год., СР –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9A06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A066B" w:rsidTr="000F547F">
        <w:tc>
          <w:tcPr>
            <w:tcW w:w="15020" w:type="dxa"/>
            <w:gridSpan w:val="4"/>
          </w:tcPr>
          <w:p w:rsidR="00AD7D07" w:rsidRPr="009A066B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</w:t>
            </w:r>
            <w:r w:rsidR="00EF1D57" w:rsidRPr="009A066B">
              <w:rPr>
                <w:rFonts w:ascii="Segoe UI" w:hAnsi="Segoe UI" w:cs="Segoe UI"/>
                <w:i/>
                <w:iCs/>
                <w:lang w:val="uk-UA"/>
              </w:rPr>
              <w:t xml:space="preserve">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Life</w:t>
            </w:r>
          </w:p>
        </w:tc>
      </w:tr>
      <w:tr w:rsidR="0089120E" w:rsidRPr="009A066B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9A066B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9A066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time</w:t>
            </w:r>
            <w:r w:rsidRPr="009A066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</w:t>
            </w:r>
            <w:r w:rsidRPr="009A066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everything</w:t>
            </w:r>
          </w:p>
        </w:tc>
        <w:tc>
          <w:tcPr>
            <w:tcW w:w="1133" w:type="dxa"/>
          </w:tcPr>
          <w:p w:rsidR="0089120E" w:rsidRPr="00BF59F2" w:rsidRDefault="009A066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A066B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9A066B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</w:t>
            </w:r>
            <w:r w:rsidRPr="009A066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9A066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9A066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4E7567" w:rsidP="004E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9120E"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9A066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6D60B0" w:rsidRPr="00455A4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E7567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10 год., СР – 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15373A" w:rsidTr="000F547F">
        <w:trPr>
          <w:trHeight w:val="289"/>
        </w:trPr>
        <w:tc>
          <w:tcPr>
            <w:tcW w:w="15020" w:type="dxa"/>
            <w:gridSpan w:val="4"/>
          </w:tcPr>
          <w:p w:rsidR="00AD7D07" w:rsidRPr="006F5F67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r w:rsidR="00D5761A" w:rsidRPr="006F5F67">
              <w:rPr>
                <w:rFonts w:ascii="Segoe UI" w:hAnsi="Segoe UI" w:cs="Segoe UI"/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89120E" w:rsidRPr="004E7567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E7567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8 год., СР – 22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4E7567" w:rsidTr="000F547F">
        <w:tc>
          <w:tcPr>
            <w:tcW w:w="15020" w:type="dxa"/>
            <w:gridSpan w:val="4"/>
          </w:tcPr>
          <w:p w:rsidR="00AD7D07" w:rsidRPr="004E7567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proofErr w:type="spellEnd"/>
            <w:r w:rsidR="00430864" w:rsidRPr="004E7567">
              <w:rPr>
                <w:rFonts w:ascii="Segoe UI" w:hAnsi="Segoe UI" w:cs="Segoe UI"/>
                <w:bCs/>
                <w:i/>
                <w:iCs/>
                <w:color w:val="373A3C"/>
                <w:lang w:val="uk-UA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proofErr w:type="spellEnd"/>
            <w:r w:rsidR="00430864" w:rsidRPr="004E7567">
              <w:rPr>
                <w:rFonts w:ascii="Segoe UI" w:hAnsi="Segoe UI" w:cs="Segoe UI"/>
                <w:bCs/>
                <w:i/>
                <w:iCs/>
                <w:color w:val="373A3C"/>
                <w:lang w:val="uk-UA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  <w:proofErr w:type="spellEnd"/>
          </w:p>
        </w:tc>
      </w:tr>
      <w:tr w:rsidR="0089120E" w:rsidRPr="004E7567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4E7567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89120E" w:rsidRPr="004E7567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</w:t>
            </w: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</w:t>
            </w: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people</w:t>
            </w: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like</w:t>
            </w: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</w:t>
            </w: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4E7567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E7567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4E7567" w:rsidTr="000F547F">
        <w:tc>
          <w:tcPr>
            <w:tcW w:w="15020" w:type="dxa"/>
            <w:gridSpan w:val="4"/>
          </w:tcPr>
          <w:p w:rsidR="00AD7D07" w:rsidRPr="004E7567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4E7567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4E7567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is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phrases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;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past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or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E7567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год., СР – 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15373A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</w:t>
            </w:r>
            <w:r w:rsidR="00BA378D" w:rsidRPr="004E756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A378D" w:rsidRPr="004E756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civilization</w:t>
            </w:r>
          </w:p>
        </w:tc>
      </w:tr>
      <w:tr w:rsidR="00916E07" w:rsidRPr="004E7567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4E7567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age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4E7567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4E7567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</w:t>
            </w:r>
            <w:proofErr w:type="spellEnd"/>
            <w:r w:rsidR="00252B45"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in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no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E7567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 год., СР – 22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 w:rsidR="00FB62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180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FB62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FB62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097C93" w:rsidRPr="00FB62B5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B62B5" w:rsidRPr="00FB62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2B5">
        <w:rPr>
          <w:rFonts w:ascii="Times New Roman" w:hAnsi="Times New Roman"/>
          <w:sz w:val="28"/>
          <w:szCs w:val="28"/>
          <w:lang w:val="uk-UA"/>
        </w:rPr>
        <w:t>і</w:t>
      </w:r>
      <w:r w:rsidR="00FB62B5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FB62B5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FB62B5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FB62B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FB62B5">
        <w:rPr>
          <w:rFonts w:ascii="Times New Roman" w:hAnsi="Times New Roman"/>
          <w:sz w:val="28"/>
          <w:szCs w:val="28"/>
          <w:lang w:val="uk-UA"/>
        </w:rPr>
        <w:t>/</w:t>
      </w:r>
      <w:r w:rsidR="00FB62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FB62B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B62B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FB62B5" w:rsidRPr="00DF4713" w:rsidTr="00DF4713">
        <w:tc>
          <w:tcPr>
            <w:tcW w:w="992" w:type="dxa"/>
          </w:tcPr>
          <w:p w:rsidR="00FB62B5" w:rsidRDefault="00FB62B5" w:rsidP="00FB62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FB62B5" w:rsidRDefault="00FB62B5" w:rsidP="00FB62B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FB62B5" w:rsidRPr="0020696B" w:rsidRDefault="00FB62B5" w:rsidP="00FB62B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B62B5" w:rsidRPr="0020696B" w:rsidRDefault="00FB62B5" w:rsidP="00FB62B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FB62B5" w:rsidRPr="0020696B" w:rsidRDefault="00FB62B5" w:rsidP="00FB62B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FB62B5" w:rsidRPr="0020696B" w:rsidRDefault="00FB62B5" w:rsidP="00FB62B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FB62B5" w:rsidRPr="0020696B" w:rsidRDefault="00FB62B5" w:rsidP="00FB62B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FB62B5" w:rsidRPr="0020696B" w:rsidRDefault="00FB62B5" w:rsidP="00FB62B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FB62B5" w:rsidRPr="0020696B" w:rsidRDefault="00FB62B5" w:rsidP="00FB62B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FB62B5" w:rsidRPr="0020696B" w:rsidRDefault="00FB62B5" w:rsidP="00FB62B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участь у роботі наукового гуртка (з конкретними результатами: макет, стенд, установка,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лабораторна робота, технологічна картка, комплект наочних посібників тощо);</w:t>
            </w:r>
          </w:p>
          <w:p w:rsidR="00FB62B5" w:rsidRPr="0020696B" w:rsidRDefault="00FB62B5" w:rsidP="00FB62B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FB62B5" w:rsidRDefault="00FB62B5" w:rsidP="00FB62B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FB62B5" w:rsidRPr="005164F4" w:rsidRDefault="00FB62B5" w:rsidP="00FB62B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B62B5" w:rsidRPr="00F97BA0" w:rsidRDefault="00FB62B5" w:rsidP="00FB62B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B62B5" w:rsidRPr="00F97BA0" w:rsidRDefault="00FB62B5" w:rsidP="00FB62B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FB62B5" w:rsidRPr="00DF4713" w:rsidTr="00DF4713">
        <w:tc>
          <w:tcPr>
            <w:tcW w:w="992" w:type="dxa"/>
          </w:tcPr>
          <w:p w:rsidR="00FB62B5" w:rsidRPr="00F97BA0" w:rsidRDefault="00FB62B5" w:rsidP="00FB62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FB62B5" w:rsidRPr="00F97BA0" w:rsidRDefault="00FB62B5" w:rsidP="00FB62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FB62B5" w:rsidRPr="00F97BA0" w:rsidRDefault="00FB62B5" w:rsidP="00FB62B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FB62B5" w:rsidRPr="00DF4713" w:rsidTr="00DF4713">
        <w:tc>
          <w:tcPr>
            <w:tcW w:w="992" w:type="dxa"/>
          </w:tcPr>
          <w:p w:rsidR="00FB62B5" w:rsidRPr="00DF4713" w:rsidRDefault="00FB62B5" w:rsidP="00FB62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FB62B5" w:rsidRPr="00075F6B" w:rsidRDefault="00FB62B5" w:rsidP="00FB62B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FB62B5" w:rsidRPr="00075F6B" w:rsidRDefault="00FB62B5" w:rsidP="00FB62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FB62B5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 w:rsidR="000901B5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FB62B5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ed).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FB62B5" w:rsidRPr="0015373A" w:rsidRDefault="00FB62B5" w:rsidP="00AF28F1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62B5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FB62B5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FB62B5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FB62B5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FB62B5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FB62B5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FB62B5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FB62B5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FB62B5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15373A" w:rsidRPr="0015373A" w:rsidRDefault="0015373A" w:rsidP="0015373A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="00252B45"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курсуінж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15373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15373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15373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15373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15373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15373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64273E" w:rsidRDefault="0064273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56C642" wp14:editId="1D00C285">
            <wp:simplePos x="0" y="0"/>
            <wp:positionH relativeFrom="column">
              <wp:posOffset>1689100</wp:posOffset>
            </wp:positionH>
            <wp:positionV relativeFrom="paragraph">
              <wp:posOffset>93345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64273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p w:rsidR="000901B5" w:rsidRDefault="000901B5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01B5" w:rsidRDefault="000901B5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01B5" w:rsidRDefault="000901B5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01B5" w:rsidRDefault="000901B5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01B5" w:rsidRPr="00A62286" w:rsidRDefault="000901B5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901B5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13"/>
  </w:num>
  <w:num w:numId="7">
    <w:abstractNumId w:val="3"/>
  </w:num>
  <w:num w:numId="8">
    <w:abstractNumId w:val="11"/>
  </w:num>
  <w:num w:numId="9">
    <w:abstractNumId w:val="16"/>
  </w:num>
  <w:num w:numId="10">
    <w:abstractNumId w:val="0"/>
  </w:num>
  <w:num w:numId="11">
    <w:abstractNumId w:val="6"/>
  </w:num>
  <w:num w:numId="12">
    <w:abstractNumId w:val="17"/>
  </w:num>
  <w:num w:numId="13">
    <w:abstractNumId w:val="18"/>
  </w:num>
  <w:num w:numId="14">
    <w:abstractNumId w:val="2"/>
  </w:num>
  <w:num w:numId="15">
    <w:abstractNumId w:val="4"/>
  </w:num>
  <w:num w:numId="16">
    <w:abstractNumId w:val="15"/>
  </w:num>
  <w:num w:numId="17">
    <w:abstractNumId w:val="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75F6B"/>
    <w:rsid w:val="00083D0F"/>
    <w:rsid w:val="000845D4"/>
    <w:rsid w:val="000901B5"/>
    <w:rsid w:val="00096EB0"/>
    <w:rsid w:val="00097C93"/>
    <w:rsid w:val="000B06AE"/>
    <w:rsid w:val="000B2A85"/>
    <w:rsid w:val="000B51F4"/>
    <w:rsid w:val="000E5436"/>
    <w:rsid w:val="000F547F"/>
    <w:rsid w:val="001330FD"/>
    <w:rsid w:val="00144332"/>
    <w:rsid w:val="00147D8A"/>
    <w:rsid w:val="0015373A"/>
    <w:rsid w:val="00166369"/>
    <w:rsid w:val="001A5BCB"/>
    <w:rsid w:val="001B00BA"/>
    <w:rsid w:val="001C4CEC"/>
    <w:rsid w:val="001C6C5C"/>
    <w:rsid w:val="001D56B8"/>
    <w:rsid w:val="001D75A7"/>
    <w:rsid w:val="001E2FF1"/>
    <w:rsid w:val="001E697F"/>
    <w:rsid w:val="002414B3"/>
    <w:rsid w:val="00241F06"/>
    <w:rsid w:val="00252B45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B725F"/>
    <w:rsid w:val="003F7818"/>
    <w:rsid w:val="00414FD7"/>
    <w:rsid w:val="0041760F"/>
    <w:rsid w:val="00427525"/>
    <w:rsid w:val="00430864"/>
    <w:rsid w:val="00452BAC"/>
    <w:rsid w:val="00455A4D"/>
    <w:rsid w:val="004642C6"/>
    <w:rsid w:val="00473869"/>
    <w:rsid w:val="00480F24"/>
    <w:rsid w:val="004849B2"/>
    <w:rsid w:val="00485745"/>
    <w:rsid w:val="0049261F"/>
    <w:rsid w:val="00492EA6"/>
    <w:rsid w:val="00495002"/>
    <w:rsid w:val="004C28B9"/>
    <w:rsid w:val="004D7BB1"/>
    <w:rsid w:val="004E7567"/>
    <w:rsid w:val="00506ECD"/>
    <w:rsid w:val="00534347"/>
    <w:rsid w:val="005453C9"/>
    <w:rsid w:val="00552CA8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4273E"/>
    <w:rsid w:val="00681278"/>
    <w:rsid w:val="006B5FAD"/>
    <w:rsid w:val="006D60B0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93FFB"/>
    <w:rsid w:val="007B0237"/>
    <w:rsid w:val="007B68C5"/>
    <w:rsid w:val="007C1DAF"/>
    <w:rsid w:val="00800114"/>
    <w:rsid w:val="00810843"/>
    <w:rsid w:val="0089120E"/>
    <w:rsid w:val="0089761E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0020"/>
    <w:rsid w:val="00981F90"/>
    <w:rsid w:val="00986C5F"/>
    <w:rsid w:val="00994D15"/>
    <w:rsid w:val="009A066B"/>
    <w:rsid w:val="009B5C00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2439"/>
    <w:rsid w:val="00BE4E21"/>
    <w:rsid w:val="00BF59F2"/>
    <w:rsid w:val="00BF5A00"/>
    <w:rsid w:val="00C1177E"/>
    <w:rsid w:val="00C16F63"/>
    <w:rsid w:val="00C54B0E"/>
    <w:rsid w:val="00C66CAD"/>
    <w:rsid w:val="00C7025C"/>
    <w:rsid w:val="00C7565A"/>
    <w:rsid w:val="00C829D3"/>
    <w:rsid w:val="00CF044D"/>
    <w:rsid w:val="00D07986"/>
    <w:rsid w:val="00D10593"/>
    <w:rsid w:val="00D13B80"/>
    <w:rsid w:val="00D320DF"/>
    <w:rsid w:val="00D32B38"/>
    <w:rsid w:val="00D553AC"/>
    <w:rsid w:val="00D5761A"/>
    <w:rsid w:val="00D745BB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90233"/>
    <w:rsid w:val="00EA0865"/>
    <w:rsid w:val="00ED1809"/>
    <w:rsid w:val="00EF1932"/>
    <w:rsid w:val="00EF1D57"/>
    <w:rsid w:val="00F04B04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B62B5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9C0F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Standard">
    <w:name w:val="Standard"/>
    <w:rsid w:val="00FB62B5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FB6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" TargetMode="External"/><Relationship Id="rId13" Type="http://schemas.openxmlformats.org/officeDocument/2006/relationships/hyperlink" Target="https://www.pears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cambridgeenglish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ng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tips.org/" TargetMode="External"/><Relationship Id="rId10" Type="http://schemas.openxmlformats.org/officeDocument/2006/relationships/hyperlink" Target="https://elt.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uipa.edu.ua" TargetMode="External"/><Relationship Id="rId14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0E0FF-F214-4803-BC58-355C1EEA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12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24</cp:revision>
  <dcterms:created xsi:type="dcterms:W3CDTF">2020-08-18T14:41:00Z</dcterms:created>
  <dcterms:modified xsi:type="dcterms:W3CDTF">2023-09-28T11:46:00Z</dcterms:modified>
</cp:coreProperties>
</file>