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FA357D" w:rsidRDefault="003A2E92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Технологічний факультет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СПІЛКУВАННЯ У АКАДЕМІ</w:t>
      </w:r>
      <w:r w:rsidR="008261B3">
        <w:rPr>
          <w:rFonts w:ascii="Times New Roman" w:eastAsia="Times New Roman" w:hAnsi="Times New Roman" w:cs="Times New Roman"/>
          <w:b/>
          <w:sz w:val="44"/>
          <w:szCs w:val="44"/>
        </w:rPr>
        <w:t>ЧНОМУ ТА ПРОФЕСІЙНОМУ СЕРЕДОВИЩІ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B95237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5F57EC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3A2E9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055F" w:rsidRDefault="00C23E5D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E3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>Здатність працювати в міжнародному контексті.</w:t>
      </w:r>
    </w:p>
    <w:p w:rsidR="00536346" w:rsidRDefault="00613A67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5</w:t>
      </w:r>
      <w:r w:rsidR="00E3055F">
        <w:rPr>
          <w:rFonts w:ascii="Times New Roman" w:hAnsi="Times New Roman"/>
          <w:color w:val="000000"/>
          <w:sz w:val="28"/>
          <w:szCs w:val="28"/>
        </w:rPr>
        <w:t>.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</w:r>
      <w:r w:rsidR="00E305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7B1F5F">
        <w:rPr>
          <w:rFonts w:ascii="Times New Roman" w:hAnsi="Times New Roman" w:cs="Times New Roman"/>
          <w:sz w:val="28"/>
          <w:szCs w:val="28"/>
        </w:rPr>
        <w:t xml:space="preserve"> осінньому </w:t>
      </w:r>
      <w:r w:rsidR="007B1F5F">
        <w:rPr>
          <w:rFonts w:ascii="Times New Roman" w:hAnsi="Times New Roman" w:cs="Times New Roman"/>
          <w:sz w:val="28"/>
          <w:szCs w:val="28"/>
        </w:rPr>
        <w:lastRenderedPageBreak/>
        <w:t>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E3055F" w:rsidRDefault="00613A67" w:rsidP="00C23E5D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 06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проектів. </w:t>
            </w:r>
            <w:r w:rsidR="00E3055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C01CB5" w:rsidRDefault="00613A67" w:rsidP="00C01CB5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 12</w:t>
            </w:r>
            <w:r w:rsidR="00C23E5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Збирати необхідну інформацію, використовуючи науково-технічну літературу, бази даних та інші джерела, аналізувати і оцінювати її.</w:t>
            </w:r>
          </w:p>
          <w:p w:rsidR="00DB0C0A" w:rsidRPr="00536346" w:rsidRDefault="00DB0C0A" w:rsidP="00C01CB5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РН.06.4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2552D4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536346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РН.12.1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Н.12.2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виступати з підготовленими індивідуальними презентаціями, продукувати чіткий монолог з широкого кола тем,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пов’язаних з навчанням;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РН.12.3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РН.12.4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рієнтованого характеру;</w:t>
            </w:r>
          </w:p>
          <w:p w:rsidR="00BB18F0" w:rsidRPr="00536346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РН.12.5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очитаного, почутого, побаченого.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7B1F5F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5F57EC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 Метрологія та інформаційно-вимірювальна техніка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BB18F0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3A2E92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3A2E92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8F0" w:rsidRDefault="00BB18F0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F9" w:rsidRDefault="003D4CF9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7B1F5F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Залік з 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E15035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5F57E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5F57E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5F57E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5F57E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5F57E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5F57EC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0F77EB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29744AD" wp14:editId="10329238">
            <wp:simplePos x="0" y="0"/>
            <wp:positionH relativeFrom="column">
              <wp:posOffset>1720850</wp:posOffset>
            </wp:positionH>
            <wp:positionV relativeFrom="paragraph">
              <wp:posOffset>169545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75F6B"/>
    <w:rsid w:val="000845D4"/>
    <w:rsid w:val="00096EB0"/>
    <w:rsid w:val="00097C93"/>
    <w:rsid w:val="000F77EB"/>
    <w:rsid w:val="00104DE2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52D4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A2E92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57EC"/>
    <w:rsid w:val="00607687"/>
    <w:rsid w:val="00613A6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10D4"/>
    <w:rsid w:val="008043D6"/>
    <w:rsid w:val="008146E2"/>
    <w:rsid w:val="008261B3"/>
    <w:rsid w:val="00882C9B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18F0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D3670"/>
    <w:rsid w:val="00CF044D"/>
    <w:rsid w:val="00D07986"/>
    <w:rsid w:val="00D445F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3055F"/>
    <w:rsid w:val="00E54315"/>
    <w:rsid w:val="00E63419"/>
    <w:rsid w:val="00E70296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3B49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1E65-3A8F-44A7-AC5A-5BC02E25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9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29</cp:revision>
  <cp:lastPrinted>2020-09-11T12:23:00Z</cp:lastPrinted>
  <dcterms:created xsi:type="dcterms:W3CDTF">2020-09-10T08:57:00Z</dcterms:created>
  <dcterms:modified xsi:type="dcterms:W3CDTF">2021-11-20T11:12:00Z</dcterms:modified>
</cp:coreProperties>
</file>