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E47A3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 факультет</w:t>
      </w:r>
      <w:bookmarkStart w:id="0" w:name="_GoBack"/>
      <w:bookmarkEnd w:id="0"/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492EA6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2021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E47A31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E47A31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42B47" w:rsidRPr="00480F24" w:rsidRDefault="00E94C94" w:rsidP="00480F24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…</w:t>
            </w:r>
            <w:r w:rsidR="00942B47" w:rsidRPr="00480F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наук,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доцент …</w:t>
            </w:r>
            <w:r w:rsidR="00942B47" w:rsidRPr="00480F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профайл викладача: </w:t>
            </w:r>
            <w:hyperlink r:id="rId7" w:history="1">
              <w:r w:rsidR="00F77CA2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="00D32B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="00F77CA2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83D0F" w:rsidRDefault="00942B47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електронна пошта:</w:t>
            </w:r>
            <w:r w:rsidR="00D32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…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A066B" w:rsidRPr="009A066B" w:rsidRDefault="009A066B" w:rsidP="009A066B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r w:rsidR="00E94C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…</w:t>
            </w: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9A066B" w:rsidRPr="00AA63C7" w:rsidRDefault="009A066B" w:rsidP="009A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профайл викладача: </w:t>
            </w:r>
            <w:hyperlink r:id="rId8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A066B" w:rsidRPr="00AA63C7" w:rsidRDefault="009A066B" w:rsidP="009A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80F24" w:rsidRPr="00942B47" w:rsidRDefault="009A066B" w:rsidP="00E94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 …: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E47A31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вказану в цьому силабусі.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Комунікативна програма обов'язково передбачає попереднє вивчення мовних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теле- і відеоапаратури), а також інші методичні засоби та прийоми, що сприяють вирішенню проблем навчання усній мові та ситуативній мовленнєвій спрямованості.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компетентністями,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розрахований на студентів 1-го і 2-го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480F2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D32B38">
        <w:rPr>
          <w:rFonts w:ascii="Times New Roman" w:hAnsi="Times New Roman"/>
          <w:sz w:val="28"/>
          <w:szCs w:val="28"/>
          <w:lang w:val="uk-UA" w:eastAsia="uk-UA"/>
        </w:rPr>
        <w:t xml:space="preserve">усіх </w:t>
      </w:r>
      <w:r w:rsidR="00D32B38" w:rsidRPr="006F5F67">
        <w:rPr>
          <w:rFonts w:ascii="Times New Roman" w:hAnsi="Times New Roman"/>
          <w:sz w:val="28"/>
          <w:szCs w:val="28"/>
          <w:lang w:val="uk-UA" w:eastAsia="uk-UA"/>
        </w:rPr>
        <w:t>факультетів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, вивчається протягом 4-х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E94C94" w:rsidRDefault="00E94C94" w:rsidP="00942B47">
      <w:pPr>
        <w:ind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42B47" w:rsidRPr="006F5F6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 широкого розуміння важливих і різнопланових міжнародних 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AC441D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2B38" w:rsidRPr="009658A7" w:rsidRDefault="00D32B38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E47A31" w:rsidTr="00D553AC">
        <w:tc>
          <w:tcPr>
            <w:tcW w:w="5954" w:type="dxa"/>
          </w:tcPr>
          <w:p w:rsidR="00E94C94" w:rsidRPr="00E94C94" w:rsidRDefault="00E94C94" w:rsidP="00E94C94">
            <w:pPr>
              <w:pStyle w:val="TableParagraph"/>
              <w:spacing w:before="43"/>
              <w:ind w:left="105"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ПРН 03. </w:t>
            </w:r>
            <w:r w:rsidRPr="00E94C94">
              <w:rPr>
                <w:sz w:val="28"/>
                <w:szCs w:val="28"/>
              </w:rPr>
              <w:t>Аналізувати суспільно й особистісно значущі світоглядні проблеми, усвідомлювати цінність захисту незалежності, територіальної цілісності та демократичного устрою України.</w:t>
            </w:r>
          </w:p>
          <w:p w:rsidR="00E94C94" w:rsidRDefault="00E94C94" w:rsidP="00E94C94">
            <w:pPr>
              <w:pStyle w:val="TableParagraph"/>
              <w:spacing w:before="43"/>
              <w:ind w:left="105"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ПРН 04. </w:t>
            </w:r>
            <w:r w:rsidRPr="00E94C94">
              <w:rPr>
                <w:sz w:val="28"/>
                <w:szCs w:val="28"/>
              </w:rPr>
              <w:t>Розуміти особливості комунікації, взаємодії та співпраці в міжнародному культурному та професійному контекстах.</w:t>
            </w:r>
          </w:p>
          <w:p w:rsidR="00E94C94" w:rsidRPr="00E94C94" w:rsidRDefault="00E94C94" w:rsidP="00E94C94">
            <w:pPr>
              <w:pStyle w:val="TableParagraph"/>
              <w:spacing w:before="43"/>
              <w:ind w:left="105"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ПРН 06. </w:t>
            </w:r>
            <w:r w:rsidRPr="00E94C94">
              <w:rPr>
                <w:sz w:val="28"/>
                <w:szCs w:val="28"/>
              </w:rPr>
              <w:t>Доносити зрозуміло і недвозначно професійні знання, обґрунтування і висновки до фахівців і широкого загалу державною та іноземною мовою.</w:t>
            </w:r>
          </w:p>
          <w:p w:rsidR="00E94C94" w:rsidRDefault="00E94C9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51CA" w:rsidRPr="00660F33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D211E7" w:rsidRDefault="009151CA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2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03.1. </w:t>
            </w:r>
            <w:r w:rsidR="00D211E7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D211E7" w:rsidRDefault="00D211E7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03.2.  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D211E7" w:rsidRDefault="00D211E7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03.3. 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  <w:p w:rsidR="00D211E7" w:rsidRDefault="00D211E7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04.1.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D211E7" w:rsidRDefault="00D211E7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04.2. 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211E7" w:rsidRDefault="00D211E7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04.3. </w:t>
            </w:r>
            <w:r w:rsidR="004F3AAF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4F3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4F3AAF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4F3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F3AAF" w:rsidRDefault="004F3AAF" w:rsidP="004F3AAF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06.1.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мовні конструкції та відверто не підшукуючи слова.</w:t>
            </w:r>
          </w:p>
          <w:p w:rsidR="004F3AAF" w:rsidRPr="009151CA" w:rsidRDefault="004F3AAF" w:rsidP="004F3AAF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06.2. 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  <w:p w:rsidR="004F3AAF" w:rsidRPr="009151CA" w:rsidRDefault="004F3AAF" w:rsidP="004F3AAF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06.3.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4F3AAF" w:rsidRDefault="004F3AAF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51CA" w:rsidRP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32B38" w:rsidRPr="00D320DF" w:rsidRDefault="00D32B38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D13B8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92EA6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2E94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1C4CE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</w:t>
            </w:r>
            <w:r w:rsidR="00CE1F5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C4CE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Професійна освіта</w:t>
            </w:r>
            <w:r w:rsidR="00CE1F5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92EA6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1C4CEC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CE1F5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6B5FAD">
        <w:trPr>
          <w:trHeight w:val="35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92EA6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1C4CEC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CE1F5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5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92EA6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1C4CEC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CE1F5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іноземна мова професійного спрямування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47D8A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E47A31" w:rsidTr="000F547F">
        <w:tc>
          <w:tcPr>
            <w:tcW w:w="15020" w:type="dxa"/>
            <w:gridSpan w:val="4"/>
          </w:tcPr>
          <w:p w:rsidR="00F33210" w:rsidRPr="006F5F67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The World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of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University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Education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Пр. заняття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 Week</w:t>
            </w:r>
          </w:p>
        </w:tc>
        <w:tc>
          <w:tcPr>
            <w:tcW w:w="1133" w:type="dxa"/>
          </w:tcPr>
          <w:p w:rsidR="00967C0C" w:rsidRPr="00BF59F2" w:rsidRDefault="009A066B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Сам. робота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9A066B" w:rsidP="009A0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Пр. заняття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9A066B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Сам. робота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Пр. заняття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9A066B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Сам. робота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Пр. заняття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9A066B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Сам. робота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A066B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A0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9A0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A066B" w:rsidTr="000F547F">
        <w:tc>
          <w:tcPr>
            <w:tcW w:w="15020" w:type="dxa"/>
            <w:gridSpan w:val="4"/>
          </w:tcPr>
          <w:p w:rsidR="00AD7D07" w:rsidRPr="009A066B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9A066B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A066B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A066B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A066B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A066B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4E7567" w:rsidP="004E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9120E"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E47A31" w:rsidTr="000F547F">
        <w:trPr>
          <w:trHeight w:val="289"/>
        </w:trPr>
        <w:tc>
          <w:tcPr>
            <w:tcW w:w="15020" w:type="dxa"/>
            <w:gridSpan w:val="4"/>
          </w:tcPr>
          <w:p w:rsidR="00AD7D07" w:rsidRPr="006F5F67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r w:rsidR="00D5761A" w:rsidRPr="006F5F67">
              <w:rPr>
                <w:rFonts w:ascii="Segoe UI" w:hAnsi="Segoe UI" w:cs="Segoe UI"/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89120E" w:rsidRPr="004E7567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Пр. заняття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Сам. робота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Пр. заняття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Сам. робота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Пр. заняття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Сам. робота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Пр. заняття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Сам. робота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E7567" w:rsidTr="000F547F">
        <w:tc>
          <w:tcPr>
            <w:tcW w:w="15020" w:type="dxa"/>
            <w:gridSpan w:val="4"/>
          </w:tcPr>
          <w:p w:rsidR="00AD7D07" w:rsidRPr="004E7567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r w:rsidR="00430864" w:rsidRPr="004E7567">
              <w:rPr>
                <w:rFonts w:ascii="Segoe UI" w:hAnsi="Segoe UI" w:cs="Segoe UI"/>
                <w:bCs/>
                <w:i/>
                <w:iCs/>
                <w:color w:val="373A3C"/>
                <w:lang w:val="uk-UA"/>
              </w:rPr>
              <w:t xml:space="preserve"> </w:t>
            </w:r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r w:rsidR="00430864" w:rsidRPr="004E7567">
              <w:rPr>
                <w:rFonts w:ascii="Segoe UI" w:hAnsi="Segoe UI" w:cs="Segoe UI"/>
                <w:bCs/>
                <w:i/>
                <w:iCs/>
                <w:color w:val="373A3C"/>
                <w:lang w:val="uk-UA"/>
              </w:rPr>
              <w:t xml:space="preserve"> </w:t>
            </w:r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</w:p>
        </w:tc>
      </w:tr>
      <w:tr w:rsidR="0089120E" w:rsidRPr="004E7567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4E7567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89120E" w:rsidRPr="004E7567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4E7567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E7567" w:rsidTr="000F547F">
        <w:tc>
          <w:tcPr>
            <w:tcW w:w="15020" w:type="dxa"/>
            <w:gridSpan w:val="4"/>
          </w:tcPr>
          <w:p w:rsidR="00AD7D07" w:rsidRPr="004E756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4E7567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4E7567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B037BE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4E756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4E756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4E7567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4E7567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4E7567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4E7567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</w:t>
            </w:r>
            <w:r w:rsidR="00252B45"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in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E7567" w:rsidTr="000F547F">
        <w:tc>
          <w:tcPr>
            <w:tcW w:w="15020" w:type="dxa"/>
            <w:gridSpan w:val="4"/>
          </w:tcPr>
          <w:p w:rsidR="00AD7D07" w:rsidRPr="00430864" w:rsidRDefault="00AD7D07" w:rsidP="0050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7. </w:t>
            </w:r>
            <w:r w:rsidR="00A8537C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D553AC" w:rsidRPr="004E7567" w:rsidTr="000F547F">
        <w:tc>
          <w:tcPr>
            <w:tcW w:w="1031" w:type="dxa"/>
            <w:vMerge w:val="restart"/>
            <w:vAlign w:val="center"/>
          </w:tcPr>
          <w:p w:rsidR="00D553AC" w:rsidRPr="00D91E00" w:rsidRDefault="004E7567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25</w:t>
            </w:r>
          </w:p>
        </w:tc>
        <w:tc>
          <w:tcPr>
            <w:tcW w:w="10734" w:type="dxa"/>
          </w:tcPr>
          <w:p w:rsidR="00D553AC" w:rsidRPr="0094205F" w:rsidRDefault="00B70BF4" w:rsidP="00B70B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D553AC" w:rsidRPr="00430864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25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26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26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27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D553AC" w:rsidRPr="00430864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27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28</w:t>
            </w:r>
          </w:p>
        </w:tc>
        <w:tc>
          <w:tcPr>
            <w:tcW w:w="10734" w:type="dxa"/>
          </w:tcPr>
          <w:p w:rsidR="00D553AC" w:rsidRPr="005D53F4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D553AC" w:rsidRPr="00430864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28</w:t>
            </w:r>
          </w:p>
        </w:tc>
        <w:tc>
          <w:tcPr>
            <w:tcW w:w="10734" w:type="dxa"/>
          </w:tcPr>
          <w:p w:rsidR="00D553AC" w:rsidRPr="005D53F4" w:rsidRDefault="005D53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3B725F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3B72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3B72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B037BE" w:rsidTr="00D553AC">
        <w:tc>
          <w:tcPr>
            <w:tcW w:w="15020" w:type="dxa"/>
            <w:gridSpan w:val="4"/>
          </w:tcPr>
          <w:p w:rsidR="00D553AC" w:rsidRPr="00430864" w:rsidRDefault="00D553AC" w:rsidP="00A85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8.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News</w:t>
            </w:r>
            <w:r w:rsidR="005D53F4" w:rsidRPr="003B725F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5D53F4" w:rsidRPr="003B725F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media</w:t>
            </w:r>
          </w:p>
        </w:tc>
      </w:tr>
      <w:tr w:rsidR="00D553AC" w:rsidRPr="003B725F" w:rsidTr="00D553AC">
        <w:tc>
          <w:tcPr>
            <w:tcW w:w="1031" w:type="dxa"/>
            <w:vMerge w:val="restart"/>
            <w:vAlign w:val="center"/>
          </w:tcPr>
          <w:p w:rsidR="00D553AC" w:rsidRPr="003B725F" w:rsidRDefault="004E7567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29</w:t>
            </w:r>
          </w:p>
        </w:tc>
        <w:tc>
          <w:tcPr>
            <w:tcW w:w="10734" w:type="dxa"/>
          </w:tcPr>
          <w:p w:rsidR="00D553AC" w:rsidRPr="003B725F" w:rsidRDefault="001D56B8" w:rsidP="001D56B8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D553AC" w:rsidRPr="006F5F67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D553AC" w:rsidRPr="00430864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D553AC" w:rsidRPr="00430864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D553AC" w:rsidRPr="006F5F67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3B725F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3B72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8 – 30 год. (ПЗ – 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3B72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B037BE" w:rsidTr="00D553AC">
        <w:tc>
          <w:tcPr>
            <w:tcW w:w="15020" w:type="dxa"/>
            <w:gridSpan w:val="4"/>
          </w:tcPr>
          <w:p w:rsidR="00D553AC" w:rsidRPr="00430864" w:rsidRDefault="00D553AC" w:rsidP="00B70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9.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</w:t>
            </w:r>
            <w:r w:rsidR="00B70C46" w:rsidRPr="003B725F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70C46" w:rsidRPr="003B725F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leisure</w:t>
            </w:r>
          </w:p>
        </w:tc>
      </w:tr>
      <w:tr w:rsidR="00D553AC" w:rsidRPr="003B725F" w:rsidTr="00D553AC">
        <w:tc>
          <w:tcPr>
            <w:tcW w:w="1031" w:type="dxa"/>
            <w:vMerge w:val="restart"/>
            <w:vAlign w:val="center"/>
          </w:tcPr>
          <w:p w:rsidR="00D553AC" w:rsidRPr="003B725F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33</w:t>
            </w:r>
          </w:p>
        </w:tc>
        <w:tc>
          <w:tcPr>
            <w:tcW w:w="10734" w:type="dxa"/>
          </w:tcPr>
          <w:p w:rsidR="00D553AC" w:rsidRPr="003B725F" w:rsidRDefault="00B70C46" w:rsidP="00B70C46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33</w:t>
            </w:r>
          </w:p>
        </w:tc>
        <w:tc>
          <w:tcPr>
            <w:tcW w:w="10734" w:type="dxa"/>
          </w:tcPr>
          <w:p w:rsidR="00D553AC" w:rsidRPr="006F5F6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34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561ECD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1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34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D553AC" w:rsidRPr="005453C9" w:rsidRDefault="003B725F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36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36</w:t>
            </w:r>
          </w:p>
        </w:tc>
        <w:tc>
          <w:tcPr>
            <w:tcW w:w="10734" w:type="dxa"/>
          </w:tcPr>
          <w:p w:rsidR="00D553AC" w:rsidRPr="006F5F6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D553AC" w:rsidRPr="005453C9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D553AC" w:rsidRPr="003B725F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3B72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9 – 30 год. (ПЗ – 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3B72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B037BE" w:rsidTr="00D553AC">
        <w:tc>
          <w:tcPr>
            <w:tcW w:w="15020" w:type="dxa"/>
            <w:gridSpan w:val="4"/>
          </w:tcPr>
          <w:p w:rsidR="00D553AC" w:rsidRPr="00430864" w:rsidRDefault="00D553AC" w:rsidP="00E01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10.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Nutrition</w:t>
            </w:r>
            <w:r w:rsidR="00E01317" w:rsidRPr="003B725F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E01317" w:rsidRPr="003B725F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health</w:t>
            </w:r>
          </w:p>
        </w:tc>
      </w:tr>
      <w:tr w:rsidR="00EA0865" w:rsidRPr="003B725F" w:rsidTr="00EA0865">
        <w:tc>
          <w:tcPr>
            <w:tcW w:w="1031" w:type="dxa"/>
            <w:vMerge w:val="restart"/>
            <w:vAlign w:val="center"/>
          </w:tcPr>
          <w:p w:rsidR="00EA0865" w:rsidRPr="003B725F" w:rsidRDefault="003B725F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A0865" w:rsidRPr="003B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EA0865" w:rsidRPr="003B725F" w:rsidRDefault="00E01317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A0865" w:rsidRPr="003B725F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64135B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13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A0865" w:rsidRPr="005453C9" w:rsidRDefault="003B725F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38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A0865" w:rsidRPr="005453C9" w:rsidRDefault="003B725F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39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A0865" w:rsidRPr="00430864" w:rsidRDefault="003B725F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39</w:t>
            </w:r>
          </w:p>
        </w:tc>
        <w:tc>
          <w:tcPr>
            <w:tcW w:w="10734" w:type="dxa"/>
          </w:tcPr>
          <w:p w:rsidR="00EA0865" w:rsidRPr="006F5F67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A0865" w:rsidRPr="005453C9" w:rsidRDefault="003B725F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A0865" w:rsidRPr="00430864" w:rsidRDefault="003B725F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A0865" w:rsidRPr="005453C9" w:rsidRDefault="003B725F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5453C9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</w:t>
            </w:r>
            <w:r w:rsidR="003B72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вий модуль 10 – 30 год. (ПЗ – 14 год., СР – 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3B72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3B72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ed).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навч. посібник для студ. денної та заоч. форм навч.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Ремізанцевої; Укр. інж.-пед. акад., Каф. іноземних мов. - Харків: Друкарня Мадрид, 2015. - 136 с.: табл., рис. - Бібліогр.: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(house</w:t>
      </w:r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="00252B45"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) : навч.-метод. посіб. з розвитку навичок усного мовлення для студ.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) : навч.-метод. посіб. з усної практики для студ.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E47A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E47A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E47A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E47A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E47A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E47A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силабусу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4"/>
  </w:num>
  <w:num w:numId="16">
    <w:abstractNumId w:val="1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6EB0"/>
    <w:rsid w:val="00097C93"/>
    <w:rsid w:val="000B06AE"/>
    <w:rsid w:val="000B2A85"/>
    <w:rsid w:val="000B51F4"/>
    <w:rsid w:val="000E5436"/>
    <w:rsid w:val="000F547F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697F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800114"/>
    <w:rsid w:val="00810843"/>
    <w:rsid w:val="0089120E"/>
    <w:rsid w:val="0089761E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29D3"/>
    <w:rsid w:val="00CE1F5D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4C94"/>
    <w:rsid w:val="00EA0865"/>
    <w:rsid w:val="00ED1809"/>
    <w:rsid w:val="00EF1932"/>
    <w:rsid w:val="00EF1D57"/>
    <w:rsid w:val="00F04B04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C804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uipa.edu.ua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6110-DB99-45AA-9FD3-04E781CD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2440</Words>
  <Characters>13059</Characters>
  <Application>Microsoft Office Word</Application>
  <DocSecurity>0</DocSecurity>
  <Lines>221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19</cp:revision>
  <dcterms:created xsi:type="dcterms:W3CDTF">2020-08-18T14:41:00Z</dcterms:created>
  <dcterms:modified xsi:type="dcterms:W3CDTF">2021-11-17T16:12:00Z</dcterms:modified>
</cp:coreProperties>
</file>